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STUDENT REFERRAL AGREEMENT</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highlight w:val="yellow"/>
          <w:u w:val="none"/>
          <w:vertAlign w:val="baseline"/>
          <w:rtl w:val="0"/>
        </w:rPr>
        <w:t xml:space="preserve">Number/date</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agreement is made and entered into by and between the</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Marbella International Studies Centre, Avenida Jaime de Mora y Aragón s/n, 29601-Marbella, Spain, tax ID B93225472  (hereinafter referred to as "MIUC"), and</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Referrer who is a current MIUC student [</w:t>
      </w:r>
      <w:r w:rsidDel="00000000" w:rsidR="00000000" w:rsidRPr="00000000">
        <w:rPr>
          <w:rFonts w:ascii="Garamond" w:cs="Garamond" w:eastAsia="Garamond" w:hAnsi="Garamond"/>
          <w:b w:val="0"/>
          <w:i w:val="0"/>
          <w:smallCaps w:val="0"/>
          <w:strike w:val="0"/>
          <w:color w:val="000000"/>
          <w:sz w:val="24"/>
          <w:szCs w:val="24"/>
          <w:highlight w:val="yellow"/>
          <w:u w:val="none"/>
          <w:vertAlign w:val="baseline"/>
          <w:rtl w:val="0"/>
        </w:rPr>
        <w:t xml:space="preserve">Name, Surname, Address, Passport/ID number, Telephone, E-mail]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(hereinafter referred to as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Referrer</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RESPONSIBILITIES OF MIUC</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1.To provide the following:</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MIUC website maintenance outlining Education Programmes.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 Review referred student (hereinafter referred to as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Referee</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application and determine acceptance for enrolment in MIUC.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4. Provide ongoing counseling and support to a Referee.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pStyle w:val="Title"/>
        <w:numPr>
          <w:ilvl w:val="0"/>
          <w:numId w:val="2"/>
        </w:numPr>
        <w:spacing w:line="360" w:lineRule="auto"/>
        <w:ind w:left="1080" w:hanging="720"/>
        <w:jc w:val="left"/>
        <w:rPr>
          <w:rFonts w:ascii="Garamond" w:cs="Garamond" w:eastAsia="Garamond" w:hAnsi="Garamond"/>
        </w:rPr>
      </w:pPr>
      <w:r w:rsidDel="00000000" w:rsidR="00000000" w:rsidRPr="00000000">
        <w:rPr>
          <w:rFonts w:ascii="Garamond" w:cs="Garamond" w:eastAsia="Garamond" w:hAnsi="Garamond"/>
          <w:rtl w:val="0"/>
        </w:rPr>
        <w:t xml:space="preserve">RESPONSIBILITIES OF THE REFERRER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 Promotion:</w:t>
      </w:r>
    </w:p>
    <w:p w:rsidR="00000000" w:rsidDel="00000000" w:rsidP="00000000" w:rsidRDefault="00000000" w:rsidRPr="00000000" w14:paraId="00000015">
      <w:pPr>
        <w:pStyle w:val="Title"/>
        <w:spacing w:line="360" w:lineRule="auto"/>
        <w:ind w:left="1080" w:firstLine="0"/>
        <w:jc w:val="left"/>
        <w:rPr>
          <w:rFonts w:ascii="Garamond" w:cs="Garamond" w:eastAsia="Garamond" w:hAnsi="Garamond"/>
          <w:b w:val="0"/>
        </w:rPr>
      </w:pPr>
      <w:r w:rsidDel="00000000" w:rsidR="00000000" w:rsidRPr="00000000">
        <w:rPr>
          <w:rFonts w:ascii="Garamond" w:cs="Garamond" w:eastAsia="Garamond" w:hAnsi="Garamond"/>
          <w:b w:val="0"/>
          <w:rtl w:val="0"/>
        </w:rPr>
        <w:t xml:space="preserve"> 1.1. promote the community of MIUC and MIUC programmes to a Referee and prospective parents of a Referee wishing to study in MIUC; </w:t>
      </w:r>
    </w:p>
    <w:p w:rsidR="00000000" w:rsidDel="00000000" w:rsidP="00000000" w:rsidRDefault="00000000" w:rsidRPr="00000000" w14:paraId="00000016">
      <w:pPr>
        <w:pStyle w:val="Title"/>
        <w:spacing w:line="360" w:lineRule="auto"/>
        <w:ind w:left="1080" w:firstLine="0"/>
        <w:jc w:val="left"/>
        <w:rPr>
          <w:rFonts w:ascii="Garamond" w:cs="Garamond" w:eastAsia="Garamond" w:hAnsi="Garamond"/>
          <w:b w:val="0"/>
        </w:rPr>
      </w:pPr>
      <w:r w:rsidDel="00000000" w:rsidR="00000000" w:rsidRPr="00000000">
        <w:rPr>
          <w:rFonts w:ascii="Garamond" w:cs="Garamond" w:eastAsia="Garamond" w:hAnsi="Garamond"/>
          <w:b w:val="0"/>
          <w:rtl w:val="0"/>
        </w:rPr>
        <w:t xml:space="preserve">1.2. share MIUC programmes information to a Referee free of charge;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 Arrange meetings for a Referee and/or their parents  with the appropriate MIUC staff.</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3. Facilitate communication between a Referee and/or their parents  and MIUC staff.</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4. Register Referee with MIUC via e-mail: </w:t>
      </w:r>
      <w:hyperlink r:id="rId7">
        <w:r w:rsidDel="00000000" w:rsidR="00000000" w:rsidRPr="00000000">
          <w:rPr>
            <w:rFonts w:ascii="Calibri" w:cs="Calibri" w:eastAsia="Calibri" w:hAnsi="Calibri"/>
            <w:b w:val="1"/>
            <w:i w:val="0"/>
            <w:smallCaps w:val="0"/>
            <w:strike w:val="0"/>
            <w:color w:val="000000"/>
            <w:sz w:val="24"/>
            <w:szCs w:val="24"/>
            <w:highlight w:val="white"/>
            <w:u w:val="single"/>
            <w:vertAlign w:val="baseline"/>
            <w:rtl w:val="0"/>
          </w:rPr>
          <w:t xml:space="preserve">hitch@miuc.org</w:t>
        </w:r>
      </w:hyperlin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providing the following details:</w:t>
      </w:r>
    </w:p>
    <w:p w:rsidR="00000000" w:rsidDel="00000000" w:rsidP="00000000" w:rsidRDefault="00000000" w:rsidRPr="00000000" w14:paraId="0000001B">
      <w:pPr>
        <w:pStyle w:val="Heading2"/>
        <w:shd w:fill="ffffff" w:val="clear"/>
        <w:spacing w:before="199"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Details of a referred student </w:t>
      </w:r>
      <w:r w:rsidDel="00000000" w:rsidR="00000000" w:rsidRPr="00000000">
        <w:rPr>
          <w:rFonts w:ascii="Garamond" w:cs="Garamond" w:eastAsia="Garamond" w:hAnsi="Garamond"/>
          <w:b w:val="0"/>
          <w:color w:val="000000"/>
          <w:sz w:val="24"/>
          <w:szCs w:val="24"/>
          <w:rtl w:val="0"/>
        </w:rPr>
        <w:t xml:space="preserve">(to be filled by the Referrer)</w:t>
      </w:r>
      <w:r w:rsidDel="00000000" w:rsidR="00000000" w:rsidRPr="00000000">
        <w:rPr>
          <w:rtl w:val="0"/>
        </w:rPr>
      </w:r>
    </w:p>
    <w:tbl>
      <w:tblPr>
        <w:tblStyle w:val="Table1"/>
        <w:tblW w:w="1030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1"/>
        <w:gridCol w:w="5151"/>
        <w:tblGridChange w:id="0">
          <w:tblGrid>
            <w:gridCol w:w="5151"/>
            <w:gridCol w:w="5151"/>
          </w:tblGrid>
        </w:tblGridChange>
      </w:tblGrid>
      <w:tr>
        <w:trPr>
          <w:cantSplit w:val="0"/>
          <w:tblHeader w:val="0"/>
        </w:trPr>
        <w:tc>
          <w:tcPr/>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Name</w:t>
            </w:r>
            <w:r w:rsidDel="00000000" w:rsidR="00000000" w:rsidRPr="00000000">
              <w:rPr>
                <w:rtl w:val="0"/>
              </w:rPr>
            </w:r>
          </w:p>
        </w:tc>
        <w:tc>
          <w:tcPr/>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r>
        <w:trPr>
          <w:cantSplit w:val="0"/>
          <w:tblHeader w:val="0"/>
        </w:trPr>
        <w:tc>
          <w:tcPr/>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Surname</w:t>
            </w:r>
            <w:r w:rsidDel="00000000" w:rsidR="00000000" w:rsidRPr="00000000">
              <w:rPr>
                <w:rtl w:val="0"/>
              </w:rPr>
            </w:r>
          </w:p>
        </w:tc>
        <w:tc>
          <w:tcPr/>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r>
        <w:trPr>
          <w:cantSplit w:val="0"/>
          <w:tblHeader w:val="0"/>
        </w:trPr>
        <w:tc>
          <w:tcPr/>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Address</w:t>
            </w:r>
            <w:r w:rsidDel="00000000" w:rsidR="00000000" w:rsidRPr="00000000">
              <w:rPr>
                <w:rtl w:val="0"/>
              </w:rPr>
            </w:r>
          </w:p>
        </w:tc>
        <w:tc>
          <w:tcPr/>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r>
        <w:trPr>
          <w:cantSplit w:val="0"/>
          <w:tblHeader w:val="0"/>
        </w:trPr>
        <w:tc>
          <w:tcPr/>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Telephone Number</w:t>
            </w:r>
            <w:r w:rsidDel="00000000" w:rsidR="00000000" w:rsidRPr="00000000">
              <w:rPr>
                <w:rtl w:val="0"/>
              </w:rPr>
            </w:r>
          </w:p>
        </w:tc>
        <w:tc>
          <w:tcPr/>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r>
        <w:trPr>
          <w:cantSplit w:val="0"/>
          <w:tblHeader w:val="0"/>
        </w:trPr>
        <w:tc>
          <w:tcPr/>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E-mail</w:t>
            </w:r>
            <w:r w:rsidDel="00000000" w:rsidR="00000000" w:rsidRPr="00000000">
              <w:rPr>
                <w:rtl w:val="0"/>
              </w:rPr>
            </w:r>
          </w:p>
        </w:tc>
        <w:tc>
          <w:tcPr/>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r>
        <w:trPr>
          <w:cantSplit w:val="0"/>
          <w:tblHeader w:val="0"/>
        </w:trPr>
        <w:tc>
          <w:tcPr/>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Passport/ID number</w:t>
            </w:r>
            <w:r w:rsidDel="00000000" w:rsidR="00000000" w:rsidRPr="00000000">
              <w:rPr>
                <w:rtl w:val="0"/>
              </w:rPr>
            </w:r>
          </w:p>
        </w:tc>
        <w:tc>
          <w:tcPr/>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2"/>
        <w:shd w:fill="ffffff" w:val="clear"/>
        <w:spacing w:before="199"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Details of Referrer </w:t>
      </w:r>
      <w:r w:rsidDel="00000000" w:rsidR="00000000" w:rsidRPr="00000000">
        <w:rPr>
          <w:rFonts w:ascii="Garamond" w:cs="Garamond" w:eastAsia="Garamond" w:hAnsi="Garamond"/>
          <w:b w:val="0"/>
          <w:color w:val="000000"/>
          <w:sz w:val="24"/>
          <w:szCs w:val="24"/>
          <w:rtl w:val="0"/>
        </w:rPr>
        <w:t xml:space="preserve">(to be filled by the Referrer)</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tbl>
      <w:tblPr>
        <w:tblStyle w:val="Table2"/>
        <w:tblW w:w="1030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1"/>
        <w:gridCol w:w="5151"/>
        <w:tblGridChange w:id="0">
          <w:tblGrid>
            <w:gridCol w:w="5151"/>
            <w:gridCol w:w="5151"/>
          </w:tblGrid>
        </w:tblGridChange>
      </w:tblGrid>
      <w:tr>
        <w:trPr>
          <w:cantSplit w:val="0"/>
          <w:tblHeader w:val="0"/>
        </w:trPr>
        <w:tc>
          <w:tcPr/>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Name</w:t>
            </w:r>
            <w:r w:rsidDel="00000000" w:rsidR="00000000" w:rsidRPr="00000000">
              <w:rPr>
                <w:rtl w:val="0"/>
              </w:rPr>
            </w:r>
          </w:p>
        </w:tc>
        <w:tc>
          <w:tcPr/>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r>
        <w:trPr>
          <w:cantSplit w:val="0"/>
          <w:tblHeader w:val="0"/>
        </w:trPr>
        <w:tc>
          <w:tcPr/>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Surname</w:t>
            </w:r>
            <w:r w:rsidDel="00000000" w:rsidR="00000000" w:rsidRPr="00000000">
              <w:rPr>
                <w:rtl w:val="0"/>
              </w:rPr>
            </w:r>
          </w:p>
        </w:tc>
        <w:tc>
          <w:tcPr/>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r>
        <w:trPr>
          <w:cantSplit w:val="0"/>
          <w:tblHeader w:val="0"/>
        </w:trPr>
        <w:tc>
          <w:tcPr/>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Address</w:t>
            </w:r>
            <w:r w:rsidDel="00000000" w:rsidR="00000000" w:rsidRPr="00000000">
              <w:rPr>
                <w:rtl w:val="0"/>
              </w:rPr>
            </w:r>
          </w:p>
        </w:tc>
        <w:tc>
          <w:tcPr/>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r>
        <w:trPr>
          <w:cantSplit w:val="0"/>
          <w:tblHeader w:val="0"/>
        </w:trPr>
        <w:tc>
          <w:tcPr/>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Telephone Number</w:t>
            </w:r>
            <w:r w:rsidDel="00000000" w:rsidR="00000000" w:rsidRPr="00000000">
              <w:rPr>
                <w:rtl w:val="0"/>
              </w:rPr>
            </w:r>
          </w:p>
        </w:tc>
        <w:tc>
          <w:tcPr/>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r>
        <w:trPr>
          <w:cantSplit w:val="0"/>
          <w:tblHeader w:val="0"/>
        </w:trPr>
        <w:tc>
          <w:tcPr/>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E-mail</w:t>
            </w:r>
            <w:r w:rsidDel="00000000" w:rsidR="00000000" w:rsidRPr="00000000">
              <w:rPr>
                <w:rtl w:val="0"/>
              </w:rPr>
            </w:r>
          </w:p>
        </w:tc>
        <w:tc>
          <w:tcPr/>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r>
        <w:trPr>
          <w:cantSplit w:val="0"/>
          <w:tblHeader w:val="0"/>
        </w:trPr>
        <w:tc>
          <w:tcPr/>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Passport/ID number</w:t>
            </w:r>
            <w:r w:rsidDel="00000000" w:rsidR="00000000" w:rsidRPr="00000000">
              <w:rPr>
                <w:rtl w:val="0"/>
              </w:rPr>
            </w:r>
          </w:p>
        </w:tc>
        <w:tc>
          <w:tcPr/>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r>
        <w:trPr>
          <w:cantSplit w:val="0"/>
          <w:tblHeader w:val="0"/>
        </w:trPr>
        <w:tc>
          <w:tcPr/>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How do you know the Referee? </w:t>
            </w:r>
            <w:r w:rsidDel="00000000" w:rsidR="00000000" w:rsidRPr="00000000">
              <w:rPr>
                <w:rtl w:val="0"/>
              </w:rPr>
            </w:r>
          </w:p>
        </w:tc>
        <w:tc>
          <w:tcPr/>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r>
        <w:trPr>
          <w:cantSplit w:val="0"/>
          <w:tblHeader w:val="0"/>
        </w:trPr>
        <w:tc>
          <w:tcPr/>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Garamond" w:cs="Garamond" w:eastAsia="Garamond" w:hAnsi="Garamond"/>
                <w:rtl w:val="0"/>
              </w:rPr>
              <w:t xml:space="preserve">What did you do to facilitate this referral?</w:t>
            </w:r>
            <w:r w:rsidDel="00000000" w:rsidR="00000000" w:rsidRPr="00000000">
              <w:rPr>
                <w:rtl w:val="0"/>
              </w:rPr>
            </w:r>
          </w:p>
        </w:tc>
        <w:tc>
          <w:tcPr/>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bl>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The Registration e-mail should be received by MIUC prior to any contact has been established with the Referee or parents, or next of kin thereof by MIUC (we need this at the point of enquiry).  The Referrer will be receiving an email notification from us confirming if it is a valid referral as we have to check if the Referee is not yet in MIUC’s database.</w:t>
      </w:r>
    </w:p>
    <w:p w:rsidR="00000000" w:rsidDel="00000000" w:rsidP="00000000" w:rsidRDefault="00000000" w:rsidRPr="00000000" w14:paraId="0000003E">
      <w:pPr>
        <w:pStyle w:val="Title"/>
        <w:spacing w:line="360" w:lineRule="auto"/>
        <w:ind w:left="1080" w:firstLine="0"/>
        <w:jc w:val="left"/>
        <w:rPr>
          <w:rFonts w:ascii="Garamond" w:cs="Garamond" w:eastAsia="Garamond" w:hAnsi="Garamond"/>
          <w:b w:val="0"/>
        </w:rPr>
      </w:pPr>
      <w:r w:rsidDel="00000000" w:rsidR="00000000" w:rsidRPr="00000000">
        <w:rPr>
          <w:rtl w:val="0"/>
        </w:rPr>
      </w:r>
    </w:p>
    <w:p w:rsidR="00000000" w:rsidDel="00000000" w:rsidP="00000000" w:rsidRDefault="00000000" w:rsidRPr="00000000" w14:paraId="0000003F">
      <w:pPr>
        <w:pStyle w:val="Title"/>
        <w:numPr>
          <w:ilvl w:val="0"/>
          <w:numId w:val="2"/>
        </w:numPr>
        <w:spacing w:line="360" w:lineRule="auto"/>
        <w:ind w:left="1080" w:hanging="720"/>
        <w:jc w:val="left"/>
        <w:rPr>
          <w:rFonts w:ascii="Garamond" w:cs="Garamond" w:eastAsia="Garamond" w:hAnsi="Garamond"/>
        </w:rPr>
      </w:pPr>
      <w:r w:rsidDel="00000000" w:rsidR="00000000" w:rsidRPr="00000000">
        <w:rPr>
          <w:rFonts w:ascii="Garamond" w:cs="Garamond" w:eastAsia="Garamond" w:hAnsi="Garamond"/>
          <w:rtl w:val="0"/>
        </w:rPr>
        <w:t xml:space="preserve">ADMISSION POLICIES</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An academic year is defined as two halves. Students may commence studies in September/October or February depending on MIUC organizational program in effect. </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Admission policy of MIUC is available on: https://www.miuc.org/study-in-spain-in-english/student-contract/terms-conditions/</w:t>
      </w:r>
    </w:p>
    <w:p w:rsidR="00000000" w:rsidDel="00000000" w:rsidP="00000000" w:rsidRDefault="00000000" w:rsidRPr="00000000" w14:paraId="00000042">
      <w:pPr>
        <w:pStyle w:val="Title"/>
        <w:spacing w:line="360" w:lineRule="auto"/>
        <w:ind w:left="108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43">
      <w:pPr>
        <w:pStyle w:val="Title"/>
        <w:numPr>
          <w:ilvl w:val="0"/>
          <w:numId w:val="2"/>
        </w:numPr>
        <w:spacing w:line="360" w:lineRule="auto"/>
        <w:ind w:left="1080" w:hanging="720"/>
        <w:jc w:val="left"/>
        <w:rPr>
          <w:rFonts w:ascii="Garamond" w:cs="Garamond" w:eastAsia="Garamond" w:hAnsi="Garamond"/>
        </w:rPr>
      </w:pPr>
      <w:r w:rsidDel="00000000" w:rsidR="00000000" w:rsidRPr="00000000">
        <w:rPr>
          <w:rFonts w:ascii="Garamond" w:cs="Garamond" w:eastAsia="Garamond" w:hAnsi="Garamond"/>
          <w:rtl w:val="0"/>
        </w:rPr>
        <w:t xml:space="preserve">REQUIRED TUITION FEE PAYMENT</w:t>
      </w:r>
    </w:p>
    <w:p w:rsidR="00000000" w:rsidDel="00000000" w:rsidP="00000000" w:rsidRDefault="00000000" w:rsidRPr="00000000" w14:paraId="00000044">
      <w:pPr>
        <w:pStyle w:val="Title"/>
        <w:spacing w:line="360" w:lineRule="auto"/>
        <w:ind w:left="108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4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Referee referred by a Referrer pays the same amount of tuition fee as students coming from other sources. </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4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Tuition fees and refund policy is available on: </w:t>
      </w:r>
      <w:hyperlink r:id="rId8">
        <w:r w:rsidDel="00000000" w:rsidR="00000000" w:rsidRPr="00000000">
          <w:rPr>
            <w:rFonts w:ascii="Garamond" w:cs="Garamond" w:eastAsia="Garamond" w:hAnsi="Garamond"/>
            <w:b w:val="0"/>
            <w:i w:val="0"/>
            <w:smallCaps w:val="0"/>
            <w:strike w:val="0"/>
            <w:color w:val="000000"/>
            <w:sz w:val="24"/>
            <w:szCs w:val="24"/>
            <w:u w:val="single"/>
            <w:shd w:fill="auto" w:val="clear"/>
            <w:vertAlign w:val="baseline"/>
            <w:rtl w:val="0"/>
          </w:rPr>
          <w:t xml:space="preserve">https://www.miuc.org/admissions/tuition-fees/</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REFERRAL TUITION DISCOUNT AMOUNT</w:t>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4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tuition fee discount for the Referrer who successfully recruited a Referee, fulfilling the following requirements: </w:t>
      </w:r>
    </w:p>
    <w:p w:rsidR="00000000" w:rsidDel="00000000" w:rsidP="00000000" w:rsidRDefault="00000000" w:rsidRPr="00000000" w14:paraId="0000004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212529"/>
          <w:sz w:val="24"/>
          <w:szCs w:val="24"/>
          <w:highlight w:val="white"/>
          <w:u w:val="none"/>
          <w:vertAlign w:val="baseline"/>
          <w:rtl w:val="0"/>
        </w:rPr>
        <w:t xml:space="preserve">Concessions will be made in the event the Referrer does not have any remaining courses or outstanding balance to be paid to MIUC.</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All application documents are completed in full. </w:t>
      </w:r>
    </w:p>
    <w:p w:rsidR="00000000" w:rsidDel="00000000" w:rsidP="00000000" w:rsidRDefault="00000000" w:rsidRPr="00000000" w14:paraId="0000004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Referee is accepted into MIUC and has paid the required tuition fee in full for at least one academic year. </w:t>
      </w:r>
    </w:p>
    <w:p w:rsidR="00000000" w:rsidDel="00000000" w:rsidP="00000000" w:rsidRDefault="00000000" w:rsidRPr="00000000" w14:paraId="0000004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student has received approval from Spanish Immigration Authorities to stay in Spain for educational purposes.</w:t>
      </w:r>
    </w:p>
    <w:p w:rsidR="00000000" w:rsidDel="00000000" w:rsidP="00000000" w:rsidRDefault="00000000" w:rsidRPr="00000000" w14:paraId="0000004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For one academic year the Referrer’s Referral Tuition Discount Amount is of 10% of his/her the tuition fee. Referrer will receive a discount providing tuition fees of a Referee have been received in full. </w:t>
      </w:r>
    </w:p>
    <w:p w:rsidR="00000000" w:rsidDel="00000000" w:rsidP="00000000" w:rsidRDefault="00000000" w:rsidRPr="00000000" w14:paraId="0000005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For academic studies exceeding one academic year, the Referrer’s Referral Tuition Discount Amount is of 10% of his/her o</w:t>
      </w:r>
      <w:r w:rsidDel="00000000" w:rsidR="00000000" w:rsidRPr="00000000">
        <w:rPr>
          <w:rFonts w:ascii="Garamond" w:cs="Garamond" w:eastAsia="Garamond" w:hAnsi="Garamond"/>
          <w:rtl w:val="0"/>
        </w:rPr>
        <w:t xml:space="preserve">ne academic year</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MIUC tuition fee. </w:t>
      </w:r>
    </w:p>
    <w:p w:rsidR="00000000" w:rsidDel="00000000" w:rsidP="00000000" w:rsidRDefault="00000000" w:rsidRPr="00000000" w14:paraId="0000005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On the occurrence of a force majeure (i.e. student is unable to study at MIUC due to the reasons not attributeble to him/her) when MIUC refunds the paid tuition fees, the Referrer undertakes to return the received Referrer’s Referral Tuition Discount Amount within 15 working days from the moment notification has been sent by MIUC.  Tuition fees and refund policy is available on: </w:t>
      </w:r>
      <w:hyperlink r:id="rId9">
        <w:r w:rsidDel="00000000" w:rsidR="00000000" w:rsidRPr="00000000">
          <w:rPr>
            <w:rFonts w:ascii="Garamond" w:cs="Garamond" w:eastAsia="Garamond" w:hAnsi="Garamond"/>
            <w:b w:val="0"/>
            <w:i w:val="0"/>
            <w:smallCaps w:val="0"/>
            <w:strike w:val="0"/>
            <w:color w:val="000000"/>
            <w:sz w:val="24"/>
            <w:szCs w:val="24"/>
            <w:u w:val="single"/>
            <w:shd w:fill="auto" w:val="clear"/>
            <w:vertAlign w:val="baseline"/>
            <w:rtl w:val="0"/>
          </w:rPr>
          <w:t xml:space="preserve">https://www.miuc.org/admissions/tuition-fees/</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212529"/>
          <w:sz w:val="24"/>
          <w:szCs w:val="24"/>
          <w:highlight w:val="white"/>
          <w:u w:val="none"/>
          <w:vertAlign w:val="baseline"/>
          <w:rtl w:val="0"/>
        </w:rPr>
        <w:t xml:space="preserve">The Referee can be referred only once however, there is no limit to the number of Referees that a Referrer can refer.</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offer is non-transferable and cannot be used for any other purpose.</w:t>
      </w:r>
    </w:p>
    <w:p w:rsidR="00000000" w:rsidDel="00000000" w:rsidP="00000000" w:rsidRDefault="00000000" w:rsidRPr="00000000" w14:paraId="0000005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Only Referrers and Referees that are self-funded and are not sponsored by an external organization can be considered for this program</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TERMS OF AGREEMENT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 This agreement will take effect immediately upon return of the copies signed by both parties and will be valid for one year.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 MIUC reserves the right to change the Referral program or the Referral award structure at its discretion. Consequent referral program changes will apply to all referral awards after such changes are made, even for users referred prior to the changes.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3. MIUC retains the right to terminate the program at any time at its discretion.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4. This Agreement is governed by Spanish law and is subjected to the jurisdiction of the Courts of Marbella.</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5. If at any point MIUC feels there has been tampering, colluding or misuse of the Referral program they have the right to disqualify the referrals in question.</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6. By submitting the referral Referrer has agreed that his/her Referee is aware that he/she will be contacted by MIUC.</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7. The Referrer agrees that at no time in the future he/she will dispute the acknowledgment of the terms and conditions.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On behalf of MIUC (Signature and Stamp)</w:t>
        <w:tab/>
        <w:tab/>
        <w:t xml:space="preserve">            Referrer/ (Signature)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Name, Surname______________</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______________________</w:t>
        <w:tab/>
        <w:tab/>
        <w:tab/>
        <w:t xml:space="preserve">                  </w:t>
        <w:tab/>
        <w:t xml:space="preserve">___________________________</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Referee (Signature)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Name, Surname______________</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______________________</w:t>
        <w:tab/>
        <w:tab/>
        <w:tab/>
        <w:t xml:space="preserve">                  </w:t>
        <w:tab/>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sectPr>
      <w:headerReference r:id="rId10" w:type="default"/>
      <w:pgSz w:h="16840" w:w="11900" w:orient="portrait"/>
      <w:pgMar w:bottom="1361" w:top="2551" w:left="794" w:right="794"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5995988</wp:posOffset>
              </wp:positionH>
              <wp:positionV relativeFrom="page">
                <wp:posOffset>395288</wp:posOffset>
              </wp:positionV>
              <wp:extent cx="1497330" cy="676275"/>
              <wp:effectExtent b="0" l="0" r="0" t="0"/>
              <wp:wrapNone/>
              <wp:docPr id="1073741833" name=""/>
              <a:graphic>
                <a:graphicData uri="http://schemas.microsoft.com/office/word/2010/wordprocessingShape">
                  <wps:wsp>
                    <wps:cNvSpPr/>
                    <wps:cNvPr id="4" name="Shape 4"/>
                    <wps:spPr>
                      <a:xfrm>
                        <a:off x="4602098" y="3446625"/>
                        <a:ext cx="1487805" cy="666750"/>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13"/>
                              <w:vertAlign w:val="baseline"/>
                            </w:rPr>
                            <w:t xml:space="preserve">TEL</w:t>
                          </w: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t xml:space="preserve"> (+34) 952 860 000</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r>
                          <w:r w:rsidDel="00000000" w:rsidR="00000000" w:rsidRPr="00000000">
                            <w:rPr>
                              <w:rFonts w:ascii="Helvetica Neue Light" w:cs="Helvetica Neue Light" w:eastAsia="Helvetica Neue Light" w:hAnsi="Helvetica Neue Light"/>
                              <w:b w:val="1"/>
                              <w:i w:val="0"/>
                              <w:smallCaps w:val="0"/>
                              <w:strike w:val="0"/>
                              <w:color w:val="000000"/>
                              <w:sz w:val="13"/>
                              <w:vertAlign w:val="baseline"/>
                            </w:rPr>
                            <w:t xml:space="preserve">FAX</w:t>
                          </w: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t xml:space="preserve"> (+34) 952 860 101</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r>
                          <w:r w:rsidDel="00000000" w:rsidR="00000000" w:rsidRPr="00000000">
                            <w:rPr>
                              <w:rFonts w:ascii="Helvetica Neue Light" w:cs="Helvetica Neue Light" w:eastAsia="Helvetica Neue Light" w:hAnsi="Helvetica Neue Light"/>
                              <w:b w:val="1"/>
                              <w:i w:val="0"/>
                              <w:smallCaps w:val="0"/>
                              <w:strike w:val="0"/>
                              <w:color w:val="000000"/>
                              <w:sz w:val="13"/>
                              <w:vertAlign w:val="baseline"/>
                            </w:rPr>
                            <w:t xml:space="preserve">E-MAIL</w:t>
                          </w: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t xml:space="preserve"> info@miuc.org</w:t>
                          </w:r>
                        </w:p>
                      </w:txbxContent>
                    </wps:txbx>
                    <wps:bodyPr anchorCtr="0" anchor="t" bIns="50800" lIns="50800" spcFirstLastPara="1" rIns="50800" wrap="square" tIns="50800">
                      <a:noAutofit/>
                    </wps:bodyPr>
                  </wps:wsp>
                </a:graphicData>
              </a:graphic>
            </wp:anchor>
          </w:drawing>
        </mc:Choice>
        <mc:Fallback>
          <w:drawing>
            <wp:anchor allowOverlap="1" behindDoc="1" distB="0" distT="0" distL="0" distR="0" hidden="0" layoutInCell="1" locked="0" relativeHeight="0" simplePos="0">
              <wp:simplePos x="0" y="0"/>
              <wp:positionH relativeFrom="page">
                <wp:posOffset>5995988</wp:posOffset>
              </wp:positionH>
              <wp:positionV relativeFrom="page">
                <wp:posOffset>395288</wp:posOffset>
              </wp:positionV>
              <wp:extent cx="1497330" cy="676275"/>
              <wp:effectExtent b="0" l="0" r="0" t="0"/>
              <wp:wrapNone/>
              <wp:docPr id="107374183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497330" cy="676275"/>
                      </a:xfrm>
                      <a:prstGeom prst="rect"/>
                      <a:ln/>
                    </pic:spPr>
                  </pic:pic>
                </a:graphicData>
              </a:graphic>
            </wp:anchor>
          </w:drawing>
        </mc:Fallback>
      </mc:AlternateContent>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3405188</wp:posOffset>
              </wp:positionH>
              <wp:positionV relativeFrom="page">
                <wp:posOffset>395288</wp:posOffset>
              </wp:positionV>
              <wp:extent cx="2476500" cy="742950"/>
              <wp:effectExtent b="0" l="0" r="0" t="0"/>
              <wp:wrapNone/>
              <wp:docPr id="1073741834" name=""/>
              <a:graphic>
                <a:graphicData uri="http://schemas.microsoft.com/office/word/2010/wordprocessingShape">
                  <wps:wsp>
                    <wps:cNvSpPr/>
                    <wps:cNvPr id="5" name="Shape 5"/>
                    <wps:spPr>
                      <a:xfrm>
                        <a:off x="4112513" y="3413288"/>
                        <a:ext cx="2466975" cy="733425"/>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13"/>
                              <w:vertAlign w:val="baseline"/>
                            </w:rPr>
                            <w:t xml:space="preserve">ADDRESS</w:t>
                          </w: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t xml:space="preserve"> Avenida Don Jaime de Mora y Arag</w:t>
                          </w:r>
                          <w:r w:rsidDel="00000000" w:rsidR="00000000" w:rsidRPr="00000000">
                            <w:rPr>
                              <w:rFonts w:ascii="Helvetica Neue" w:cs="Helvetica Neue" w:eastAsia="Helvetica Neue" w:hAnsi="Helvetica Neue"/>
                              <w:b w:val="0"/>
                              <w:i w:val="0"/>
                              <w:smallCaps w:val="0"/>
                              <w:strike w:val="0"/>
                              <w:color w:val="000000"/>
                              <w:sz w:val="16"/>
                              <w:vertAlign w:val="baseline"/>
                            </w:rPr>
                            <w:t xml:space="preserve">ó</w:t>
                          </w: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t xml:space="preserve">n s/n</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t xml:space="preserve">Finca El Pinillo 29601, Marbella | M</w:t>
                          </w:r>
                          <w:r w:rsidDel="00000000" w:rsidR="00000000" w:rsidRPr="00000000">
                            <w:rPr>
                              <w:rFonts w:ascii="Helvetica Neue" w:cs="Helvetica Neue" w:eastAsia="Helvetica Neue" w:hAnsi="Helvetica Neue"/>
                              <w:b w:val="0"/>
                              <w:i w:val="0"/>
                              <w:smallCaps w:val="0"/>
                              <w:strike w:val="0"/>
                              <w:color w:val="000000"/>
                              <w:sz w:val="16"/>
                              <w:vertAlign w:val="baseline"/>
                            </w:rPr>
                            <w:t xml:space="preserve">á</w:t>
                          </w: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t xml:space="preserve">laga | Spain</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r>
                          <w:r w:rsidDel="00000000" w:rsidR="00000000" w:rsidRPr="00000000">
                            <w:rPr>
                              <w:rFonts w:ascii="Helvetica Neue Light" w:cs="Helvetica Neue Light" w:eastAsia="Helvetica Neue Light" w:hAnsi="Helvetica Neue Light"/>
                              <w:b w:val="1"/>
                              <w:i w:val="0"/>
                              <w:smallCaps w:val="0"/>
                              <w:strike w:val="0"/>
                              <w:color w:val="000000"/>
                              <w:sz w:val="13"/>
                              <w:vertAlign w:val="baseline"/>
                            </w:rPr>
                            <w:t xml:space="preserve">WEB SITE</w:t>
                          </w: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t xml:space="preserve"> www.miuc.org</w:t>
                          </w:r>
                        </w:p>
                      </w:txbxContent>
                    </wps:txbx>
                    <wps:bodyPr anchorCtr="0" anchor="t" bIns="50800" lIns="50800" spcFirstLastPara="1" rIns="50800" wrap="square" tIns="50800">
                      <a:noAutofit/>
                    </wps:bodyPr>
                  </wps:wsp>
                </a:graphicData>
              </a:graphic>
            </wp:anchor>
          </w:drawing>
        </mc:Choice>
        <mc:Fallback>
          <w:drawing>
            <wp:anchor allowOverlap="1" behindDoc="1" distB="0" distT="0" distL="0" distR="0" hidden="0" layoutInCell="1" locked="0" relativeHeight="0" simplePos="0">
              <wp:simplePos x="0" y="0"/>
              <wp:positionH relativeFrom="page">
                <wp:posOffset>3405188</wp:posOffset>
              </wp:positionH>
              <wp:positionV relativeFrom="page">
                <wp:posOffset>395288</wp:posOffset>
              </wp:positionV>
              <wp:extent cx="2476500" cy="742950"/>
              <wp:effectExtent b="0" l="0" r="0" t="0"/>
              <wp:wrapNone/>
              <wp:docPr id="1073741834"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2476500" cy="742950"/>
                      </a:xfrm>
                      <a:prstGeom prst="rect"/>
                      <a:ln/>
                    </pic:spPr>
                  </pic:pic>
                </a:graphicData>
              </a:graphic>
            </wp:anchor>
          </w:drawing>
        </mc:Fallback>
      </mc:AlternateContent>
    </w:r>
    <w:r w:rsidDel="00000000" w:rsidR="00000000" w:rsidRPr="00000000">
      <w:rPr/>
      <w:drawing>
        <wp:anchor allowOverlap="1" behindDoc="1" distB="0" distT="0" distL="0" distR="0" hidden="0" layoutInCell="1" locked="0" relativeHeight="0" simplePos="0">
          <wp:simplePos x="0" y="0"/>
          <wp:positionH relativeFrom="page">
            <wp:posOffset>504000</wp:posOffset>
          </wp:positionH>
          <wp:positionV relativeFrom="page">
            <wp:posOffset>467359</wp:posOffset>
          </wp:positionV>
          <wp:extent cx="561143" cy="652823"/>
          <wp:effectExtent b="0" l="0" r="0" t="0"/>
          <wp:wrapNone/>
          <wp:docPr id="1073741836" name="image2.jpg"/>
          <a:graphic>
            <a:graphicData uri="http://schemas.openxmlformats.org/drawingml/2006/picture">
              <pic:pic>
                <pic:nvPicPr>
                  <pic:cNvPr id="0" name="image2.jpg"/>
                  <pic:cNvPicPr preferRelativeResize="0"/>
                </pic:nvPicPr>
                <pic:blipFill>
                  <a:blip r:embed="rId3"/>
                  <a:srcRect b="0" l="0" r="0" t="0"/>
                  <a:stretch>
                    <a:fillRect/>
                  </a:stretch>
                </pic:blipFill>
                <pic:spPr>
                  <a:xfrm>
                    <a:off x="0" y="0"/>
                    <a:ext cx="561143" cy="652823"/>
                  </a:xfrm>
                  <a:prstGeom prst="rect"/>
                  <a:ln/>
                </pic:spPr>
              </pic:pic>
            </a:graphicData>
          </a:graphic>
        </wp:anchor>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6639221</wp:posOffset>
              </wp:positionH>
              <wp:positionV relativeFrom="page">
                <wp:posOffset>9899650</wp:posOffset>
              </wp:positionV>
              <wp:extent cx="468842" cy="291042"/>
              <wp:effectExtent b="0" l="0" r="0" t="0"/>
              <wp:wrapNone/>
              <wp:docPr id="1073741832" name=""/>
              <a:graphic>
                <a:graphicData uri="http://schemas.microsoft.com/office/word/2010/wordprocessingShape">
                  <wps:wsp>
                    <wps:cNvSpPr/>
                    <wps:cNvPr id="3" name="Shape 3"/>
                    <wps:spPr>
                      <a:xfrm>
                        <a:off x="5116342" y="3639242"/>
                        <a:ext cx="459317" cy="281517"/>
                      </a:xfrm>
                      <a:prstGeom prst="rect">
                        <a:avLst/>
                      </a:prstGeom>
                      <a:noFill/>
                      <a:ln>
                        <a:noFill/>
                      </a:ln>
                    </wps:spPr>
                    <wps:txbx>
                      <w:txbxContent>
                        <w:p w:rsidR="00000000" w:rsidDel="00000000" w:rsidP="00000000" w:rsidRDefault="00000000" w:rsidRPr="00000000">
                          <w:pPr>
                            <w:spacing w:after="0" w:before="0" w:line="288.0000114440918"/>
                            <w:ind w:left="0" w:right="0" w:firstLine="0"/>
                            <w:jc w:val="right"/>
                            <w:textDirection w:val="btLr"/>
                          </w:pP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t xml:space="preserve"> PAGE 4</w:t>
                          </w:r>
                        </w:p>
                      </w:txbxContent>
                    </wps:txbx>
                    <wps:bodyPr anchorCtr="0" anchor="t" bIns="50800" lIns="50800" spcFirstLastPara="1" rIns="50800" wrap="square" tIns="50800">
                      <a:noAutofit/>
                    </wps:bodyPr>
                  </wps:wsp>
                </a:graphicData>
              </a:graphic>
            </wp:anchor>
          </w:drawing>
        </mc:Choice>
        <mc:Fallback>
          <w:drawing>
            <wp:anchor allowOverlap="1" behindDoc="1" distB="0" distT="0" distL="0" distR="0" hidden="0" layoutInCell="1" locked="0" relativeHeight="0" simplePos="0">
              <wp:simplePos x="0" y="0"/>
              <wp:positionH relativeFrom="page">
                <wp:posOffset>6639221</wp:posOffset>
              </wp:positionH>
              <wp:positionV relativeFrom="page">
                <wp:posOffset>9899650</wp:posOffset>
              </wp:positionV>
              <wp:extent cx="468842" cy="291042"/>
              <wp:effectExtent b="0" l="0" r="0" t="0"/>
              <wp:wrapNone/>
              <wp:docPr id="1073741832"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468842" cy="291042"/>
                      </a:xfrm>
                      <a:prstGeom prst="rect"/>
                      <a:ln/>
                    </pic:spPr>
                  </pic:pic>
                </a:graphicData>
              </a:graphic>
            </wp:anchor>
          </w:drawing>
        </mc:Fallback>
      </mc:AlternateContent>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447970</wp:posOffset>
              </wp:positionH>
              <wp:positionV relativeFrom="page">
                <wp:posOffset>9899650</wp:posOffset>
              </wp:positionV>
              <wp:extent cx="468842" cy="291042"/>
              <wp:effectExtent b="0" l="0" r="0" t="0"/>
              <wp:wrapNone/>
              <wp:docPr id="1073741831" name=""/>
              <a:graphic>
                <a:graphicData uri="http://schemas.microsoft.com/office/word/2010/wordprocessingShape">
                  <wps:wsp>
                    <wps:cNvSpPr/>
                    <wps:cNvPr id="2" name="Shape 2"/>
                    <wps:spPr>
                      <a:xfrm>
                        <a:off x="5116342" y="3639242"/>
                        <a:ext cx="459317" cy="281517"/>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Helvetica Neue Light" w:cs="Helvetica Neue Light" w:eastAsia="Helvetica Neue Light" w:hAnsi="Helvetica Neue Light"/>
                              <w:b w:val="0"/>
                              <w:i w:val="0"/>
                              <w:smallCaps w:val="0"/>
                              <w:strike w:val="0"/>
                              <w:color w:val="000000"/>
                              <w:sz w:val="16"/>
                              <w:vertAlign w:val="baseline"/>
                            </w:rPr>
                            <w:t xml:space="preserve">Page</w:t>
                          </w:r>
                        </w:p>
                      </w:txbxContent>
                    </wps:txbx>
                    <wps:bodyPr anchorCtr="0" anchor="t" bIns="50800" lIns="50800" spcFirstLastPara="1" rIns="50800" wrap="square" tIns="50800">
                      <a:noAutofit/>
                    </wps:bodyPr>
                  </wps:wsp>
                </a:graphicData>
              </a:graphic>
            </wp:anchor>
          </w:drawing>
        </mc:Choice>
        <mc:Fallback>
          <w:drawing>
            <wp:anchor allowOverlap="1" behindDoc="1" distB="0" distT="0" distL="0" distR="0" hidden="0" layoutInCell="1" locked="0" relativeHeight="0" simplePos="0">
              <wp:simplePos x="0" y="0"/>
              <wp:positionH relativeFrom="page">
                <wp:posOffset>447970</wp:posOffset>
              </wp:positionH>
              <wp:positionV relativeFrom="page">
                <wp:posOffset>9899650</wp:posOffset>
              </wp:positionV>
              <wp:extent cx="468842" cy="291042"/>
              <wp:effectExtent b="0" l="0" r="0" t="0"/>
              <wp:wrapNone/>
              <wp:docPr id="1073741831" name="image3.png"/>
              <a:graphic>
                <a:graphicData uri="http://schemas.openxmlformats.org/drawingml/2006/picture">
                  <pic:pic>
                    <pic:nvPicPr>
                      <pic:cNvPr id="0" name="image3.png"/>
                      <pic:cNvPicPr preferRelativeResize="0"/>
                    </pic:nvPicPr>
                    <pic:blipFill>
                      <a:blip r:embed="rId5"/>
                      <a:srcRect/>
                      <a:stretch>
                        <a:fillRect/>
                      </a:stretch>
                    </pic:blipFill>
                    <pic:spPr>
                      <a:xfrm>
                        <a:off x="0" y="0"/>
                        <a:ext cx="468842" cy="291042"/>
                      </a:xfrm>
                      <a:prstGeom prst="rect"/>
                      <a:ln/>
                    </pic:spPr>
                  </pic:pic>
                </a:graphicData>
              </a:graphic>
            </wp:anchor>
          </w:drawing>
        </mc:Fallback>
      </mc:AlternateContent>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505587</wp:posOffset>
              </wp:positionH>
              <wp:positionV relativeFrom="page">
                <wp:posOffset>9898062</wp:posOffset>
              </wp:positionV>
              <wp:extent cx="6548500" cy="12700"/>
              <wp:effectExtent b="0" l="0" r="0" t="0"/>
              <wp:wrapNone/>
              <wp:docPr id="1073741835" name=""/>
              <a:graphic>
                <a:graphicData uri="http://schemas.microsoft.com/office/word/2010/wordprocessingShape">
                  <wps:wsp>
                    <wps:cNvCnPr/>
                    <wps:spPr>
                      <a:xfrm>
                        <a:off x="2071750" y="3780000"/>
                        <a:ext cx="6548500" cy="0"/>
                      </a:xfrm>
                      <a:prstGeom prst="straightConnector1">
                        <a:avLst/>
                      </a:prstGeom>
                      <a:noFill/>
                      <a:ln cap="flat" cmpd="sng" w="9525">
                        <a:solidFill>
                          <a:srgbClr val="000000"/>
                        </a:solidFill>
                        <a:prstDash val="solid"/>
                        <a:miter lim="4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505587</wp:posOffset>
              </wp:positionH>
              <wp:positionV relativeFrom="page">
                <wp:posOffset>9898062</wp:posOffset>
              </wp:positionV>
              <wp:extent cx="6548500" cy="12700"/>
              <wp:effectExtent b="0" l="0" r="0" t="0"/>
              <wp:wrapNone/>
              <wp:docPr id="1073741835"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6548500" cy="127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1.%2."/>
      <w:lvlJc w:val="left"/>
      <w:pPr>
        <w:ind w:left="1080" w:hanging="720"/>
      </w:pPr>
      <w:rPr>
        <w:b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4">
    <w:lvl w:ilvl="0">
      <w:start w:val="1"/>
      <w:numFmt w:val="decimal"/>
      <w:lvlText w:val="%1."/>
      <w:lvlJc w:val="left"/>
      <w:pPr>
        <w:ind w:left="360" w:hanging="36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5">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6">
    <w:lvl w:ilvl="0">
      <w:start w:val="1"/>
      <w:numFmt w:val="decimal"/>
      <w:lvlText w:val="%1."/>
      <w:lvlJc w:val="left"/>
      <w:pPr>
        <w:ind w:left="420" w:hanging="360"/>
      </w:pPr>
      <w:rPr/>
    </w:lvl>
    <w:lvl w:ilvl="1">
      <w:start w:val="2"/>
      <w:numFmt w:val="decimal"/>
      <w:lvlText w:val="%1.%2."/>
      <w:lvlJc w:val="left"/>
      <w:pPr>
        <w:ind w:left="780" w:hanging="720"/>
      </w:pPr>
      <w:rPr/>
    </w:lvl>
    <w:lvl w:ilvl="2">
      <w:start w:val="1"/>
      <w:numFmt w:val="decimal"/>
      <w:lvlText w:val="%1.%2.%3."/>
      <w:lvlJc w:val="left"/>
      <w:pPr>
        <w:ind w:left="780" w:hanging="720"/>
      </w:pPr>
      <w:rPr/>
    </w:lvl>
    <w:lvl w:ilvl="3">
      <w:start w:val="1"/>
      <w:numFmt w:val="decimal"/>
      <w:lvlText w:val="%1.%2.%3.%4."/>
      <w:lvlJc w:val="left"/>
      <w:pPr>
        <w:ind w:left="1140" w:hanging="1080"/>
      </w:pPr>
      <w:rPr/>
    </w:lvl>
    <w:lvl w:ilvl="4">
      <w:start w:val="1"/>
      <w:numFmt w:val="decimal"/>
      <w:lvlText w:val="%1.%2.%3.%4.%5."/>
      <w:lvlJc w:val="left"/>
      <w:pPr>
        <w:ind w:left="1140" w:hanging="1080"/>
      </w:pPr>
      <w:rPr/>
    </w:lvl>
    <w:lvl w:ilvl="5">
      <w:start w:val="1"/>
      <w:numFmt w:val="decimal"/>
      <w:lvlText w:val="%1.%2.%3.%4.%5.%6."/>
      <w:lvlJc w:val="left"/>
      <w:pPr>
        <w:ind w:left="1500" w:hanging="1440"/>
      </w:pPr>
      <w:rPr/>
    </w:lvl>
    <w:lvl w:ilvl="6">
      <w:start w:val="1"/>
      <w:numFmt w:val="decimal"/>
      <w:lvlText w:val="%1.%2.%3.%4.%5.%6.%7."/>
      <w:lvlJc w:val="left"/>
      <w:pPr>
        <w:ind w:left="1860" w:hanging="1800"/>
      </w:pPr>
      <w:rPr/>
    </w:lvl>
    <w:lvl w:ilvl="7">
      <w:start w:val="1"/>
      <w:numFmt w:val="decimal"/>
      <w:lvlText w:val="%1.%2.%3.%4.%5.%6.%7.%8."/>
      <w:lvlJc w:val="left"/>
      <w:pPr>
        <w:ind w:left="1860" w:hanging="1800"/>
      </w:pPr>
      <w:rPr/>
    </w:lvl>
    <w:lvl w:ilvl="8">
      <w:start w:val="1"/>
      <w:numFmt w:val="decimal"/>
      <w:lvlText w:val="%1.%2.%3.%4.%5.%6.%7.%8.%9."/>
      <w:lvlJc w:val="left"/>
      <w:pPr>
        <w:ind w:left="22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pBdr>
        <w:top w:color="000000" w:space="0" w:sz="0" w:val="none"/>
        <w:left w:color="000000" w:space="0" w:sz="0" w:val="none"/>
        <w:bottom w:color="000000" w:space="0" w:sz="0" w:val="none"/>
        <w:right w:color="000000" w:space="0" w:sz="0" w:val="none"/>
        <w:between w:color="000000" w:space="0" w:sz="0" w:val="none"/>
      </w:pBdr>
      <w:tabs>
        <w:tab w:val="left" w:pos="-1440"/>
        <w:tab w:val="left" w:pos="-720"/>
        <w:tab w:val="left" w:pos="0"/>
        <w:tab w:val="left" w:pos="444"/>
        <w:tab w:val="left" w:pos="720"/>
        <w:tab w:val="left" w:pos="1154"/>
        <w:tab w:val="left" w:pos="1440"/>
      </w:tabs>
      <w:jc w:val="both"/>
    </w:pPr>
    <w:rPr>
      <w:b w:val="1"/>
      <w:sz w:val="22"/>
      <w:szCs w:val="22"/>
    </w:rPr>
  </w:style>
  <w:style w:type="paragraph" w:styleId="Heading2">
    <w:name w:val="heading 2"/>
    <w:basedOn w:val="Normal"/>
    <w:next w:val="Normal"/>
    <w:pPr>
      <w:keepNext w:val="1"/>
      <w:keepLines w:val="1"/>
      <w:spacing w:before="40" w:lineRule="auto"/>
    </w:pPr>
    <w:rPr>
      <w:rFonts w:ascii="Helvetica Neue" w:cs="Helvetica Neue" w:eastAsia="Helvetica Neue" w:hAnsi="Helvetica Neue"/>
      <w:color w:val="2e769e"/>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top w:color="000000" w:space="0" w:sz="0" w:val="none"/>
        <w:left w:color="000000" w:space="0" w:sz="0" w:val="none"/>
        <w:bottom w:color="000000" w:space="0" w:sz="0" w:val="none"/>
        <w:right w:color="000000" w:space="0" w:sz="0" w:val="none"/>
        <w:between w:color="000000" w:space="0" w:sz="0" w:val="none"/>
      </w:pBdr>
      <w:jc w:val="center"/>
    </w:pPr>
    <w:rPr>
      <w:b w:val="1"/>
    </w:rPr>
  </w:style>
  <w:style w:type="paragraph" w:styleId="Normal" w:default="1">
    <w:name w:val="Normal"/>
    <w:rPr>
      <w:sz w:val="24"/>
      <w:szCs w:val="24"/>
      <w:lang w:val="en-US"/>
    </w:rPr>
  </w:style>
  <w:style w:type="paragraph" w:styleId="Heading1">
    <w:name w:val="heading 1"/>
    <w:basedOn w:val="Normal"/>
    <w:next w:val="Normal"/>
    <w:link w:val="Heading1Char"/>
    <w:qFormat w:val="1"/>
    <w:rsid w:val="00EF23C3"/>
    <w:pPr>
      <w:keepNext w:val="1"/>
      <w:widowControl w:val="0"/>
      <w:pBdr>
        <w:top w:color="auto" w:space="0" w:sz="0" w:val="none"/>
        <w:left w:color="auto" w:space="0" w:sz="0" w:val="none"/>
        <w:bottom w:color="auto" w:space="0" w:sz="0" w:val="none"/>
        <w:right w:color="auto" w:space="0" w:sz="0" w:val="none"/>
        <w:between w:color="auto" w:space="0" w:sz="0" w:val="none"/>
        <w:bar w:color="auto" w:space="0" w:sz="0" w:val="none"/>
      </w:pBdr>
      <w:tabs>
        <w:tab w:val="left" w:pos="-1440"/>
        <w:tab w:val="left" w:pos="-720"/>
        <w:tab w:val="left" w:pos="0"/>
        <w:tab w:val="left" w:pos="444"/>
        <w:tab w:val="left" w:pos="720"/>
        <w:tab w:val="left" w:pos="1154"/>
        <w:tab w:val="left" w:pos="1440"/>
      </w:tabs>
      <w:suppressAutoHyphens w:val="1"/>
      <w:jc w:val="both"/>
      <w:outlineLvl w:val="0"/>
    </w:pPr>
    <w:rPr>
      <w:rFonts w:eastAsia="Times New Roman"/>
      <w:b w:val="1"/>
      <w:spacing w:val="-2"/>
      <w:sz w:val="22"/>
      <w:szCs w:val="20"/>
      <w:bdr w:color="auto" w:space="0" w:sz="0" w:val="none"/>
    </w:rPr>
  </w:style>
  <w:style w:type="paragraph" w:styleId="Heading2">
    <w:name w:val="heading 2"/>
    <w:basedOn w:val="Normal"/>
    <w:next w:val="Normal"/>
    <w:link w:val="Heading2Char"/>
    <w:uiPriority w:val="9"/>
    <w:semiHidden w:val="1"/>
    <w:unhideWhenUsed w:val="1"/>
    <w:qFormat w:val="1"/>
    <w:rsid w:val="002D6807"/>
    <w:pPr>
      <w:keepNext w:val="1"/>
      <w:keepLines w:val="1"/>
      <w:spacing w:before="40"/>
      <w:outlineLvl w:val="1"/>
    </w:pPr>
    <w:rPr>
      <w:rFonts w:asciiTheme="majorHAnsi" w:cstheme="majorBidi" w:eastAsiaTheme="majorEastAsia" w:hAnsiTheme="majorHAnsi"/>
      <w:color w:val="2f759e"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A" w:customStyle="1">
    <w:name w:val="Header &amp; Footer A"/>
    <w:pPr>
      <w:tabs>
        <w:tab w:val="right" w:pos="9020"/>
      </w:tabs>
    </w:pPr>
    <w:rPr>
      <w:rFonts w:ascii="Helvetica" w:cs="Arial Unicode MS" w:hAnsi="Arial Unicode MS"/>
      <w:color w:val="000000"/>
      <w:sz w:val="24"/>
      <w:szCs w:val="24"/>
      <w:u w:color="000000"/>
    </w:rPr>
  </w:style>
  <w:style w:type="character" w:styleId="Link" w:customStyle="1">
    <w:name w:val="Link"/>
    <w:rPr>
      <w:u w:val="single"/>
    </w:rPr>
  </w:style>
  <w:style w:type="character" w:styleId="Hyperlink0" w:customStyle="1">
    <w:name w:val="Hyperlink.0"/>
    <w:basedOn w:val="Link"/>
    <w:rPr>
      <w:u w:val="none"/>
    </w:rPr>
  </w:style>
  <w:style w:type="paragraph" w:styleId="Body" w:customStyle="1">
    <w:name w:val="Body"/>
    <w:rPr>
      <w:rFonts w:ascii="Helvetica" w:cs="Helvetica" w:eastAsia="Helvetica" w:hAnsi="Helvetica"/>
      <w:color w:val="000000"/>
      <w:sz w:val="22"/>
      <w:szCs w:val="22"/>
    </w:rPr>
  </w:style>
  <w:style w:type="table" w:styleId="TableGrid">
    <w:name w:val="Table Grid"/>
    <w:basedOn w:val="TableNormal"/>
    <w:uiPriority w:val="59"/>
    <w:rsid w:val="00EC09D8"/>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eading1Char" w:customStyle="1">
    <w:name w:val="Heading 1 Char"/>
    <w:basedOn w:val="DefaultParagraphFont"/>
    <w:link w:val="Heading1"/>
    <w:rsid w:val="00EF23C3"/>
    <w:rPr>
      <w:rFonts w:eastAsia="Times New Roman"/>
      <w:b w:val="1"/>
      <w:spacing w:val="-2"/>
      <w:sz w:val="22"/>
      <w:bdr w:color="auto" w:space="0" w:sz="0" w:val="none"/>
      <w:lang w:val="en-US"/>
    </w:rPr>
  </w:style>
  <w:style w:type="paragraph" w:styleId="BodyText">
    <w:name w:val="Body Text"/>
    <w:basedOn w:val="Normal"/>
    <w:link w:val="BodyTextChar"/>
    <w:rsid w:val="00EF23C3"/>
    <w:pPr>
      <w:widowControl w:val="0"/>
      <w:pBdr>
        <w:top w:color="auto" w:space="0" w:sz="0" w:val="none"/>
        <w:left w:color="auto" w:space="0" w:sz="0" w:val="none"/>
        <w:bottom w:color="auto" w:space="0" w:sz="0" w:val="none"/>
        <w:right w:color="auto" w:space="0" w:sz="0" w:val="none"/>
        <w:between w:color="auto" w:space="0" w:sz="0" w:val="none"/>
        <w:bar w:color="auto" w:space="0" w:sz="0" w:val="none"/>
      </w:pBdr>
      <w:tabs>
        <w:tab w:val="center" w:pos="5040"/>
      </w:tabs>
      <w:suppressAutoHyphens w:val="1"/>
    </w:pPr>
    <w:rPr>
      <w:rFonts w:eastAsia="Times New Roman"/>
      <w:spacing w:val="-2"/>
      <w:sz w:val="22"/>
      <w:szCs w:val="20"/>
      <w:bdr w:color="auto" w:space="0" w:sz="0" w:val="none"/>
    </w:rPr>
  </w:style>
  <w:style w:type="character" w:styleId="BodyTextChar" w:customStyle="1">
    <w:name w:val="Body Text Char"/>
    <w:basedOn w:val="DefaultParagraphFont"/>
    <w:link w:val="BodyText"/>
    <w:rsid w:val="00EF23C3"/>
    <w:rPr>
      <w:rFonts w:eastAsia="Times New Roman"/>
      <w:spacing w:val="-2"/>
      <w:sz w:val="22"/>
      <w:bdr w:color="auto" w:space="0" w:sz="0" w:val="none"/>
      <w:lang w:val="en-US"/>
    </w:rPr>
  </w:style>
  <w:style w:type="paragraph" w:styleId="Title">
    <w:name w:val="Title"/>
    <w:basedOn w:val="Normal"/>
    <w:link w:val="TitleChar"/>
    <w:qFormat w:val="1"/>
    <w:rsid w:val="00392B30"/>
    <w:pPr>
      <w:pBdr>
        <w:top w:color="auto" w:space="0" w:sz="0" w:val="none"/>
        <w:left w:color="auto" w:space="0" w:sz="0" w:val="none"/>
        <w:bottom w:color="auto" w:space="0" w:sz="0" w:val="none"/>
        <w:right w:color="auto" w:space="0" w:sz="0" w:val="none"/>
        <w:between w:color="auto" w:space="0" w:sz="0" w:val="none"/>
        <w:bar w:color="auto" w:space="0" w:sz="0" w:val="none"/>
      </w:pBdr>
      <w:jc w:val="center"/>
    </w:pPr>
    <w:rPr>
      <w:rFonts w:eastAsia="Times New Roman"/>
      <w:b w:val="1"/>
      <w:bCs w:val="1"/>
      <w:bdr w:color="auto" w:space="0" w:sz="0" w:val="none"/>
      <w:lang w:val="en-GB"/>
    </w:rPr>
  </w:style>
  <w:style w:type="character" w:styleId="TitleChar" w:customStyle="1">
    <w:name w:val="Title Char"/>
    <w:basedOn w:val="DefaultParagraphFont"/>
    <w:link w:val="Title"/>
    <w:rsid w:val="00392B30"/>
    <w:rPr>
      <w:rFonts w:eastAsia="Times New Roman"/>
      <w:b w:val="1"/>
      <w:bCs w:val="1"/>
      <w:sz w:val="24"/>
      <w:szCs w:val="24"/>
      <w:bdr w:color="auto" w:space="0" w:sz="0" w:val="none"/>
      <w:lang w:val="en-GB"/>
    </w:rPr>
  </w:style>
  <w:style w:type="paragraph" w:styleId="Header">
    <w:name w:val="header"/>
    <w:basedOn w:val="Normal"/>
    <w:link w:val="HeaderChar"/>
    <w:uiPriority w:val="99"/>
    <w:unhideWhenUsed w:val="1"/>
    <w:rsid w:val="009E5812"/>
    <w:pPr>
      <w:tabs>
        <w:tab w:val="center" w:pos="4252"/>
        <w:tab w:val="right" w:pos="8504"/>
      </w:tabs>
    </w:pPr>
  </w:style>
  <w:style w:type="character" w:styleId="HeaderChar" w:customStyle="1">
    <w:name w:val="Header Char"/>
    <w:basedOn w:val="DefaultParagraphFont"/>
    <w:link w:val="Header"/>
    <w:uiPriority w:val="99"/>
    <w:rsid w:val="009E5812"/>
    <w:rPr>
      <w:sz w:val="24"/>
      <w:szCs w:val="24"/>
      <w:lang w:val="en-US"/>
    </w:rPr>
  </w:style>
  <w:style w:type="paragraph" w:styleId="Footer">
    <w:name w:val="footer"/>
    <w:basedOn w:val="Normal"/>
    <w:link w:val="FooterChar"/>
    <w:uiPriority w:val="99"/>
    <w:unhideWhenUsed w:val="1"/>
    <w:rsid w:val="009E5812"/>
    <w:pPr>
      <w:tabs>
        <w:tab w:val="center" w:pos="4252"/>
        <w:tab w:val="right" w:pos="8504"/>
      </w:tabs>
    </w:pPr>
  </w:style>
  <w:style w:type="character" w:styleId="FooterChar" w:customStyle="1">
    <w:name w:val="Footer Char"/>
    <w:basedOn w:val="DefaultParagraphFont"/>
    <w:link w:val="Footer"/>
    <w:uiPriority w:val="99"/>
    <w:rsid w:val="009E5812"/>
    <w:rPr>
      <w:sz w:val="24"/>
      <w:szCs w:val="24"/>
      <w:lang w:val="en-US"/>
    </w:rPr>
  </w:style>
  <w:style w:type="character" w:styleId="Emphasis">
    <w:name w:val="Emphasis"/>
    <w:basedOn w:val="DefaultParagraphFont"/>
    <w:uiPriority w:val="20"/>
    <w:qFormat w:val="1"/>
    <w:rsid w:val="00882AB5"/>
    <w:rPr>
      <w:i w:val="1"/>
      <w:iCs w:val="1"/>
    </w:rPr>
  </w:style>
  <w:style w:type="character" w:styleId="CommentReference">
    <w:name w:val="annotation reference"/>
    <w:basedOn w:val="DefaultParagraphFont"/>
    <w:uiPriority w:val="99"/>
    <w:semiHidden w:val="1"/>
    <w:unhideWhenUsed w:val="1"/>
    <w:rsid w:val="00FF5772"/>
    <w:rPr>
      <w:sz w:val="16"/>
      <w:szCs w:val="16"/>
    </w:rPr>
  </w:style>
  <w:style w:type="paragraph" w:styleId="CommentText">
    <w:name w:val="annotation text"/>
    <w:basedOn w:val="Normal"/>
    <w:link w:val="CommentTextChar"/>
    <w:uiPriority w:val="99"/>
    <w:semiHidden w:val="1"/>
    <w:unhideWhenUsed w:val="1"/>
    <w:rsid w:val="00FF5772"/>
    <w:rPr>
      <w:sz w:val="20"/>
      <w:szCs w:val="20"/>
    </w:rPr>
  </w:style>
  <w:style w:type="character" w:styleId="CommentTextChar" w:customStyle="1">
    <w:name w:val="Comment Text Char"/>
    <w:basedOn w:val="DefaultParagraphFont"/>
    <w:link w:val="CommentText"/>
    <w:uiPriority w:val="99"/>
    <w:semiHidden w:val="1"/>
    <w:rsid w:val="00FF5772"/>
    <w:rPr>
      <w:lang w:val="en-US"/>
    </w:rPr>
  </w:style>
  <w:style w:type="paragraph" w:styleId="CommentSubject">
    <w:name w:val="annotation subject"/>
    <w:basedOn w:val="CommentText"/>
    <w:next w:val="CommentText"/>
    <w:link w:val="CommentSubjectChar"/>
    <w:uiPriority w:val="99"/>
    <w:semiHidden w:val="1"/>
    <w:unhideWhenUsed w:val="1"/>
    <w:rsid w:val="00FF5772"/>
    <w:rPr>
      <w:b w:val="1"/>
      <w:bCs w:val="1"/>
    </w:rPr>
  </w:style>
  <w:style w:type="character" w:styleId="CommentSubjectChar" w:customStyle="1">
    <w:name w:val="Comment Subject Char"/>
    <w:basedOn w:val="CommentTextChar"/>
    <w:link w:val="CommentSubject"/>
    <w:uiPriority w:val="99"/>
    <w:semiHidden w:val="1"/>
    <w:rsid w:val="00FF5772"/>
    <w:rPr>
      <w:b w:val="1"/>
      <w:bCs w:val="1"/>
      <w:lang w:val="en-US"/>
    </w:rPr>
  </w:style>
  <w:style w:type="paragraph" w:styleId="BalloonText">
    <w:name w:val="Balloon Text"/>
    <w:basedOn w:val="Normal"/>
    <w:link w:val="BalloonTextChar"/>
    <w:uiPriority w:val="99"/>
    <w:semiHidden w:val="1"/>
    <w:unhideWhenUsed w:val="1"/>
    <w:rsid w:val="00FF5772"/>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F5772"/>
    <w:rPr>
      <w:rFonts w:ascii="Segoe UI" w:cs="Segoe UI" w:hAnsi="Segoe UI"/>
      <w:sz w:val="18"/>
      <w:szCs w:val="18"/>
      <w:lang w:val="en-US"/>
    </w:rPr>
  </w:style>
  <w:style w:type="character" w:styleId="FollowedHyperlink">
    <w:name w:val="FollowedHyperlink"/>
    <w:basedOn w:val="DefaultParagraphFont"/>
    <w:uiPriority w:val="99"/>
    <w:semiHidden w:val="1"/>
    <w:unhideWhenUsed w:val="1"/>
    <w:rsid w:val="006674B5"/>
    <w:rPr>
      <w:color w:val="ff00ff" w:themeColor="followedHyperlink"/>
      <w:u w:val="single"/>
    </w:rPr>
  </w:style>
  <w:style w:type="character" w:styleId="Mencinsinresolver1" w:customStyle="1">
    <w:name w:val="Mención sin resolver1"/>
    <w:basedOn w:val="DefaultParagraphFont"/>
    <w:uiPriority w:val="99"/>
    <w:semiHidden w:val="1"/>
    <w:unhideWhenUsed w:val="1"/>
    <w:rsid w:val="00914B52"/>
    <w:rPr>
      <w:color w:val="808080"/>
      <w:shd w:color="auto" w:fill="e6e6e6" w:val="clear"/>
    </w:rPr>
  </w:style>
  <w:style w:type="character" w:styleId="Heading2Char" w:customStyle="1">
    <w:name w:val="Heading 2 Char"/>
    <w:basedOn w:val="DefaultParagraphFont"/>
    <w:link w:val="Heading2"/>
    <w:uiPriority w:val="9"/>
    <w:semiHidden w:val="1"/>
    <w:rsid w:val="002D6807"/>
    <w:rPr>
      <w:rFonts w:asciiTheme="majorHAnsi" w:cstheme="majorBidi" w:eastAsiaTheme="majorEastAsia" w:hAnsiTheme="majorHAnsi"/>
      <w:color w:val="2f759e" w:themeColor="accent1" w:themeShade="0000BF"/>
      <w:sz w:val="26"/>
      <w:szCs w:val="26"/>
      <w:lang w:val="en-US"/>
    </w:rPr>
  </w:style>
  <w:style w:type="character" w:styleId="Strong">
    <w:name w:val="Strong"/>
    <w:basedOn w:val="DefaultParagraphFont"/>
    <w:uiPriority w:val="22"/>
    <w:qFormat w:val="1"/>
    <w:rsid w:val="002D6807"/>
    <w:rPr>
      <w:b w:val="1"/>
      <w:bCs w:val="1"/>
    </w:rPr>
  </w:style>
  <w:style w:type="character" w:styleId="form-required" w:customStyle="1">
    <w:name w:val="form-required"/>
    <w:basedOn w:val="DefaultParagraphFont"/>
    <w:rsid w:val="002D6807"/>
  </w:style>
  <w:style w:type="character" w:styleId="il" w:customStyle="1">
    <w:name w:val="il"/>
    <w:basedOn w:val="DefaultParagraphFont"/>
    <w:rsid w:val="002A68E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miuc.org/admissions/tuition-fe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hitch@miuc.org" TargetMode="External"/><Relationship Id="rId8" Type="http://schemas.openxmlformats.org/officeDocument/2006/relationships/hyperlink" Target="https://www.miuc.org/admissions/tuition-fe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2.jpg"/><Relationship Id="rId4" Type="http://schemas.openxmlformats.org/officeDocument/2006/relationships/image" Target="media/image4.png"/><Relationship Id="rId5" Type="http://schemas.openxmlformats.org/officeDocument/2006/relationships/image" Target="media/image3.png"/><Relationship Id="rId6"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urKMqQYaticv0MfgH9bt4IYfGA==">AMUW2mWtVnx5XAVlRhisqZTsjtieQljwY7AvU5EIHMB0L5YMqS1mDvtg+pDlKKd97U6aWNzszRz54MflwfdT+oAsJiXi8e1w8eJ3esCTNrCILhJitb08A8PfLLsxKKt6E+ws2oGjGvfH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2020-08-21T11:24:00Z</dcterms:created>
  <dc:creator>Naomi Sidaway Sollinger</dc:creator>
</cp:coreProperties>
</file>